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A5AA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方正小标宋简体" w:eastAsia="楷体_GB2312" w:cs="方正小标宋简体"/>
          <w:sz w:val="32"/>
          <w:szCs w:val="32"/>
        </w:rPr>
      </w:pPr>
    </w:p>
    <w:p w14:paraId="5B0149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方正小标宋简体" w:eastAsia="楷体_GB2312" w:cs="方正小标宋简体"/>
          <w:sz w:val="32"/>
          <w:szCs w:val="32"/>
        </w:rPr>
      </w:pPr>
    </w:p>
    <w:p w14:paraId="001AC6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方正小标宋简体" w:eastAsia="楷体_GB2312" w:cs="方正小标宋简体"/>
          <w:sz w:val="32"/>
          <w:szCs w:val="32"/>
        </w:rPr>
      </w:pPr>
    </w:p>
    <w:p w14:paraId="6EED91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方正小标宋简体" w:eastAsia="楷体_GB2312" w:cs="方正小标宋简体"/>
          <w:sz w:val="32"/>
          <w:szCs w:val="32"/>
        </w:rPr>
      </w:pPr>
    </w:p>
    <w:p w14:paraId="7586F3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方正小标宋简体" w:eastAsia="楷体_GB2312" w:cs="方正小标宋简体"/>
          <w:sz w:val="32"/>
          <w:szCs w:val="32"/>
        </w:rPr>
      </w:pPr>
    </w:p>
    <w:p w14:paraId="687FF6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西政发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〔2024〕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号</w:t>
      </w:r>
    </w:p>
    <w:p w14:paraId="7BB237B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楷体_GB2312" w:hAnsi="方正小标宋简体" w:eastAsia="楷体_GB2312" w:cs="方正小标宋简体"/>
          <w:sz w:val="32"/>
          <w:szCs w:val="32"/>
        </w:rPr>
      </w:pPr>
    </w:p>
    <w:p w14:paraId="17620C9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</w:t>
      </w:r>
      <w:r>
        <w:rPr>
          <w:rFonts w:hint="eastAsia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开展“家庭律师”进万家、法律服务“亭好享”实施方案》的通知</w:t>
      </w:r>
    </w:p>
    <w:p w14:paraId="1A6D104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91742F">
      <w:pPr>
        <w:pStyle w:val="14"/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行政村，镇直</w:t>
      </w:r>
      <w:r>
        <w:rPr>
          <w:rFonts w:hint="default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_GB2312" w:hAnsi="仿宋_GB2312" w:eastAsia="仿宋_GB2312" w:cs="仿宋_GB2312"/>
          <w:spacing w:val="5"/>
          <w:kern w:val="2"/>
          <w:sz w:val="32"/>
          <w:szCs w:val="32"/>
          <w:lang w:val="en-US" w:eastAsia="zh-CN" w:bidi="ar-SA"/>
        </w:rPr>
        <w:t>部门：</w:t>
      </w:r>
    </w:p>
    <w:p w14:paraId="3B657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现将《关于开展“家庭律师”进万家、法律服务“亭好享”实施方案》印发给你们，请结合实际，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认真贯彻落实。</w:t>
      </w:r>
    </w:p>
    <w:p w14:paraId="29AFD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6D77AC9">
      <w:pPr>
        <w:pStyle w:val="14"/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 w:eastAsia="仿宋_GB2312"/>
          <w:sz w:val="32"/>
        </w:rPr>
        <w:t xml:space="preserve">                       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                               </w:t>
      </w:r>
    </w:p>
    <w:p w14:paraId="5F39AA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西集镇人民政府</w:t>
      </w:r>
    </w:p>
    <w:p w14:paraId="328547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940" w:firstLineChars="1800"/>
        <w:jc w:val="both"/>
        <w:textAlignment w:val="auto"/>
        <w:rPr>
          <w:rFonts w:hint="default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pacing w:val="5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pacing w:val="5"/>
          <w:sz w:val="32"/>
          <w:szCs w:val="32"/>
          <w:lang w:eastAsia="zh-CN"/>
        </w:rPr>
        <w:t>日</w:t>
      </w:r>
    </w:p>
    <w:p w14:paraId="6FC8D137"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38C11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D73841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12EAC5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5A9E0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3D051C6"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9C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关于开展“家庭律师”进万家、法律服务</w:t>
      </w:r>
    </w:p>
    <w:p w14:paraId="3BE0F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“亭好享”实施方案</w:t>
      </w:r>
    </w:p>
    <w:p w14:paraId="3F0333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</w:p>
    <w:p w14:paraId="6289733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为深入贯彻落实习近平</w:t>
      </w:r>
      <w:bookmarkStart w:id="0" w:name="_Hlk159408087"/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法治思想，进一步深化法治政府示范区建设，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持续擦亮“全省法治政府建设示范区”金字招牌，提高社会治理法治化水平，推动法律服务向家庭延伸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不断满足广大群众法律需求，促进基层和谐稳定，制定如下方案。</w:t>
      </w:r>
      <w:bookmarkEnd w:id="0"/>
    </w:p>
    <w:p w14:paraId="24428C7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黑体" w:hAnsi="黑体" w:eastAsia="黑体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一、指导思想</w:t>
      </w:r>
    </w:p>
    <w:p w14:paraId="5979AA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以习近平新时代中国特色社会主义思想为指导，深入学习习近平法治思想，全面贯彻落实党的二十大精神，坚持系统观念、法治思维、强基导向，围绕法治山亭、法治政府、法治社会一体建设全面推进，以满足当前广大群众日益增长的法律需求为重点，提升法律服务工作水平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促进广大群众法律意识显著增强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能够自觉通过合法途径反映利益诉求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解决矛盾纠纷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维护合法权益，逐步养成知法守法、依法办事的良好习惯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构建和谐稳定新格局。</w:t>
      </w:r>
    </w:p>
    <w:p w14:paraId="28C8D0D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二、工作原则</w:t>
      </w:r>
    </w:p>
    <w:p w14:paraId="2DCA10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一是坚持政府主导，社会参与。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充分发挥政府的统筹协调作用，引导律师、法律服务工作者积极走进“万家”，进行法律服务，着力解决群众身边的法律问题，在法治服务中践行承诺、彰显担当。</w:t>
      </w:r>
    </w:p>
    <w:p w14:paraId="1A04B8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二是坚持</w:t>
      </w:r>
      <w:r>
        <w:rPr>
          <w:rFonts w:ascii="楷体_GB2312" w:eastAsia="楷体_GB2312"/>
          <w:spacing w:val="0"/>
          <w:sz w:val="32"/>
          <w:szCs w:val="32"/>
          <w:shd w:val="clear" w:color="auto" w:fill="FFFFFF"/>
        </w:rPr>
        <w:t>服务群众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，</w:t>
      </w:r>
      <w:r>
        <w:rPr>
          <w:rFonts w:ascii="楷体_GB2312" w:eastAsia="楷体_GB2312"/>
          <w:spacing w:val="0"/>
          <w:sz w:val="32"/>
          <w:szCs w:val="32"/>
          <w:shd w:val="clear" w:color="auto" w:fill="FFFFFF"/>
        </w:rPr>
        <w:t>便民利民</w:t>
      </w: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牢固树立以人民为中心的发展理念，推动法律服务工作在基层走深走实，解决群众“律师用时不好找”的问题，切实让人民群众感受到便民、高效的法律服务，实现“零距离”法律服务。</w:t>
      </w:r>
    </w:p>
    <w:p w14:paraId="4554C68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三是坚持提升质效，稳步推进。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实施“家庭律师”与“家”双向选择签约服务，提高服务协议签约率，提升“家庭律师”法律服务责任和质效，不断满足群众对法律服务的基本需求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维护群众合法权益。</w:t>
      </w:r>
    </w:p>
    <w:p w14:paraId="056045A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三、主要目标</w:t>
      </w:r>
    </w:p>
    <w:p w14:paraId="6D2082D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坚持把法律服务落细、落小、落实，推动法律服务向家庭延伸，打造“家家有律师，人人讲法治”的良好氛围，实现群众不出家门即可享受到高效法律服务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困难群体能够及时得到法律援助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群众对法律服务的满意度不断提高，社会和谐稳定。力争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到2024年底，全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“家庭律师”签约服务覆盖率达到95%以上，基本实现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“家庭律师”进万家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</w:rPr>
        <w:t>全覆盖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。</w:t>
      </w:r>
    </w:p>
    <w:p w14:paraId="1E2CFE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</w:rPr>
        <w:t>四、服务内容</w:t>
      </w:r>
    </w:p>
    <w:p w14:paraId="4645F5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一是为“家”提供法律咨询和法律建议。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为家庭所涉及的衣食住行等提供法律问题解答、法律后果评价、法律风险评估以及风险预防化解方案前置等法律意见，帮助“治未病”，助力家庭法律风险由事后救济到事前防范。</w:t>
      </w:r>
    </w:p>
    <w:p w14:paraId="6F3C574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shd w:val="clear" w:color="auto" w:fill="FFFFFF"/>
        </w:rPr>
        <w:t>二是为“家”协助办理法律事务。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shd w:val="clear" w:color="auto" w:fill="FFFFFF"/>
        </w:rPr>
        <w:t>协助办理投资、出国留学、财富保护与传承，协调办理公证、教育、医疗等领域的法律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服务，参与办理房屋、车辆、家庭理财、保险等法律事务。起草离婚、赡养、抚养、收养、财产共有、分家析产、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赠予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等法律事务，代书和见证遗嘱，担任遗嘱执行人等。</w:t>
      </w:r>
    </w:p>
    <w:p w14:paraId="172AE2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highlight w:val="none"/>
          <w:shd w:val="clear" w:color="auto" w:fill="FFFFFF"/>
        </w:rPr>
        <w:t>三是为“家”提供诉讼代理、涉刑辩护等诉讼类法律服务。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代理各类民事、行政案件及刑事案件辩护等，及时处理具体案件诉讼服务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降低法律风险，维护合法权益。对符合法律援助条件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，协助申办法律援助。</w:t>
      </w:r>
    </w:p>
    <w:p w14:paraId="119C75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eastAsia="楷体_GB2312"/>
          <w:spacing w:val="0"/>
          <w:sz w:val="32"/>
          <w:szCs w:val="32"/>
          <w:highlight w:val="none"/>
          <w:shd w:val="clear" w:color="auto" w:fill="FFFFFF"/>
        </w:rPr>
        <w:t>四是为“家”创办企业提供经营性法律服务。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参与企业创立、注册资本、股权及股权架构设计、公司章程制定、公司经营、公司法务处理、劳资关系纠纷调解等涉家族性企业经营性法律实务。</w:t>
      </w:r>
    </w:p>
    <w:p w14:paraId="59D9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</w:rPr>
        <w:t>五、实施步骤</w:t>
      </w:r>
    </w:p>
    <w:p w14:paraId="74055F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spacing w:val="0"/>
          <w:sz w:val="32"/>
          <w:szCs w:val="32"/>
          <w:highlight w:val="none"/>
          <w:shd w:val="clear" w:color="auto" w:fill="FFFFFF"/>
        </w:rPr>
        <w:t>（一）部署阶段（2024年</w:t>
      </w:r>
      <w:r>
        <w:rPr>
          <w:rFonts w:hint="eastAsia" w:ascii="楷体_GB2312" w:eastAsia="楷体_GB2312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楷体_GB2312" w:eastAsia="楷体_GB2312"/>
          <w:spacing w:val="0"/>
          <w:sz w:val="32"/>
          <w:szCs w:val="32"/>
          <w:highlight w:val="none"/>
          <w:shd w:val="clear" w:color="auto" w:fill="FFFFFF"/>
        </w:rPr>
        <w:t>月）。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制定《关于开展“家庭律师”进万家、法律服务“亭好享”实施方案》，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7月2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之前完成镇、村、律所三方《村（社区）法律顾问协议》签订工作并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组织召开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家庭律师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进万家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项目部署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动员会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7月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各行政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村召开村级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家庭律师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进万家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项目部署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动员会，全面落实区、镇两级关于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家庭律师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进万家项目推进会议精神，向广大村（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居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）民宣传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家庭律师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进万家的意义，做好思想动员及积极签约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准备</w:t>
      </w:r>
      <w:r>
        <w:rPr>
          <w:rFonts w:hint="default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工作。</w:t>
      </w:r>
    </w:p>
    <w:p w14:paraId="7E67DA5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楷体_GB2312" w:hAnsi="Times New Roman" w:eastAsia="楷体_GB2312" w:cs="Times New Roman"/>
          <w:spacing w:val="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highlight w:val="none"/>
          <w:shd w:val="clear" w:color="auto" w:fill="FFFFFF"/>
        </w:rPr>
        <w:t>（二）实施阶段（2024年</w:t>
      </w: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highlight w:val="none"/>
          <w:shd w:val="clear" w:color="auto" w:fill="FFFFFF"/>
        </w:rPr>
        <w:t>月—2024年11月）。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根据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实施方案，推动工作落实。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村委会负责召开由村民代表、工商户代表、产业户代表以及家庭律师等参加的推进会，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单独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建立村民与“家庭律师”对接、沟通、交流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微信群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，畅通“点对点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”“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一对一”的服务路径，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于8月31日前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完成《“家庭律师”法律服务协议》签订以及协议履行等工作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签约率达85%，11月30日前签约率达95%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。</w:t>
      </w:r>
    </w:p>
    <w:p w14:paraId="2C4FB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spacing w:val="0"/>
          <w:kern w:val="0"/>
          <w:sz w:val="32"/>
          <w:szCs w:val="32"/>
          <w:highlight w:val="none"/>
          <w:shd w:val="clear" w:color="auto" w:fill="FFFFFF"/>
        </w:rPr>
        <w:t>（三）总结阶段（2024年12月）。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对全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镇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家庭律师进万家、法律服务“亭好享”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进行全面总结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固化制度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查漏补缺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  <w:t>进一步提高“家庭律师”工作的规范化、制度化水平。</w:t>
      </w:r>
    </w:p>
    <w:p w14:paraId="484C86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ascii="仿宋_GB2312" w:eastAsia="仿宋_GB2312"/>
          <w:b w:val="0"/>
          <w:bCs w:val="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pacing w:val="0"/>
          <w:kern w:val="2"/>
          <w:sz w:val="32"/>
          <w:szCs w:val="32"/>
          <w:highlight w:val="none"/>
        </w:rPr>
        <w:t>六、组织保障</w:t>
      </w:r>
    </w:p>
    <w:p w14:paraId="6D7D7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（一）加强组织领导。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为确保“家庭律师”进万家、法律服务“亭好享”工作有序健康稳步推进，由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政府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牵头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平安法治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办、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司法所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具体推动落实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负责统筹调度工作推进。各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片区、行政村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要强化属地责任，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根据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实施方案，细化工作目标，加强统筹协调，形成镇主导、村实施、村民参与、律师服务的工作机制，确保各项任务落实到位，服务质量和满意度持续提升。</w:t>
      </w:r>
    </w:p>
    <w:p w14:paraId="0C99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（二）建立推进机制。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“家庭律师”是政府推动实施、具有公益属性的项目，在提供咨询、出具法律建议等咨询类、决策类简单法律服务事项中，实行无偿法律服务，全年不限次数。在协助办理案件诉讼代理、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民营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企业经营等法律事务中，实行有偿服务，但应当给予适当优惠。建立常态化会商、全周期服务评价机制，组织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相关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人员对工作开展中发现的问题和困难进行经常性会商。通过查看服务台账、评价服务效果、群众满意度调查等形式评估“家庭律师”工作开展情况，服务评价较好的“家庭律师”将在次年度续聘。</w:t>
      </w:r>
    </w:p>
    <w:p w14:paraId="594C0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1"/>
          <w:szCs w:val="31"/>
          <w:highlight w:val="none"/>
        </w:rPr>
        <w:t>（三）坚持正向宣传报道。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要充分利用微信公众号等新媒体深入宣传“家庭律师”进万家、法律服务“亭好享”工作开展进度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</w:rPr>
        <w:t>跟踪报道主要成效和典型案例，培育推广先进典型，以点带面，发挥正面示范引领作用，营造良好的社会氛围</w:t>
      </w:r>
      <w:r>
        <w:rPr>
          <w:rFonts w:hint="eastAsia" w:ascii="仿宋_GB2312" w:hAnsi="黑体" w:eastAsia="仿宋_GB2312" w:cs="仿宋"/>
          <w:b w:val="0"/>
          <w:bCs w:val="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318FBC-D46F-4EDA-87BB-35EBE37BCD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035389-7248-49A7-A959-A596C4B730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832E66-2BCB-43D7-A44D-3719FB6E92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05AC9E-FD9D-4A19-8932-3EDB9AC0A5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D42504E-2032-4321-95AA-4ECC18FEFF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44B51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20C48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620C48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YWU0YzZkZGI0NGFiNTRiNmUxZTBlOTEzOTc0YWYifQ=="/>
  </w:docVars>
  <w:rsids>
    <w:rsidRoot w:val="3C380220"/>
    <w:rsid w:val="00004295"/>
    <w:rsid w:val="00075134"/>
    <w:rsid w:val="003832DC"/>
    <w:rsid w:val="00422C83"/>
    <w:rsid w:val="004F7AF3"/>
    <w:rsid w:val="006836D3"/>
    <w:rsid w:val="006C2B6A"/>
    <w:rsid w:val="006D6B96"/>
    <w:rsid w:val="008E5C01"/>
    <w:rsid w:val="00A85D41"/>
    <w:rsid w:val="00AC7205"/>
    <w:rsid w:val="00B65CF5"/>
    <w:rsid w:val="00BF52BD"/>
    <w:rsid w:val="00C75A07"/>
    <w:rsid w:val="00C802C0"/>
    <w:rsid w:val="00D71D13"/>
    <w:rsid w:val="00E458CD"/>
    <w:rsid w:val="00E95874"/>
    <w:rsid w:val="00F07CB6"/>
    <w:rsid w:val="019A09F8"/>
    <w:rsid w:val="01E21263"/>
    <w:rsid w:val="02AD5394"/>
    <w:rsid w:val="02C170CB"/>
    <w:rsid w:val="02F96864"/>
    <w:rsid w:val="04506958"/>
    <w:rsid w:val="0580501B"/>
    <w:rsid w:val="067E2EB5"/>
    <w:rsid w:val="08385709"/>
    <w:rsid w:val="098B1266"/>
    <w:rsid w:val="0A9A702F"/>
    <w:rsid w:val="0BCF2858"/>
    <w:rsid w:val="0C2B3807"/>
    <w:rsid w:val="0C6E6F15"/>
    <w:rsid w:val="0CCB1854"/>
    <w:rsid w:val="0CF84031"/>
    <w:rsid w:val="0E15476E"/>
    <w:rsid w:val="0EC17841"/>
    <w:rsid w:val="0EF6634E"/>
    <w:rsid w:val="0F517A28"/>
    <w:rsid w:val="0F9713B6"/>
    <w:rsid w:val="0FA1275E"/>
    <w:rsid w:val="108B0131"/>
    <w:rsid w:val="109F5251"/>
    <w:rsid w:val="11194576"/>
    <w:rsid w:val="120668A8"/>
    <w:rsid w:val="12451B40"/>
    <w:rsid w:val="12BA2945"/>
    <w:rsid w:val="134A6C68"/>
    <w:rsid w:val="13D10528"/>
    <w:rsid w:val="14C2659D"/>
    <w:rsid w:val="153C0833"/>
    <w:rsid w:val="15E03F9F"/>
    <w:rsid w:val="167A7865"/>
    <w:rsid w:val="18D019BE"/>
    <w:rsid w:val="18EB0BE0"/>
    <w:rsid w:val="19AA7A31"/>
    <w:rsid w:val="1A7267F4"/>
    <w:rsid w:val="1AA11864"/>
    <w:rsid w:val="1B742F17"/>
    <w:rsid w:val="1CDD0B4D"/>
    <w:rsid w:val="1CE912A0"/>
    <w:rsid w:val="1DBE7147"/>
    <w:rsid w:val="1DFD6643"/>
    <w:rsid w:val="20531417"/>
    <w:rsid w:val="21325D4E"/>
    <w:rsid w:val="233233FB"/>
    <w:rsid w:val="23DA5DE6"/>
    <w:rsid w:val="23DF424C"/>
    <w:rsid w:val="24547947"/>
    <w:rsid w:val="276C5CB3"/>
    <w:rsid w:val="27E5752B"/>
    <w:rsid w:val="28FB3E0F"/>
    <w:rsid w:val="2A1536D4"/>
    <w:rsid w:val="2A9C51F4"/>
    <w:rsid w:val="2B9D7E25"/>
    <w:rsid w:val="2C7F73DF"/>
    <w:rsid w:val="2D202ABC"/>
    <w:rsid w:val="2DA97EA2"/>
    <w:rsid w:val="2DBD5AE8"/>
    <w:rsid w:val="2EB15996"/>
    <w:rsid w:val="2FC33BD3"/>
    <w:rsid w:val="30954C40"/>
    <w:rsid w:val="322A5785"/>
    <w:rsid w:val="331D504B"/>
    <w:rsid w:val="343739DA"/>
    <w:rsid w:val="34C907A7"/>
    <w:rsid w:val="353C43DF"/>
    <w:rsid w:val="36293BE7"/>
    <w:rsid w:val="36DA1F2E"/>
    <w:rsid w:val="37BA6D47"/>
    <w:rsid w:val="38CF5396"/>
    <w:rsid w:val="39026BE7"/>
    <w:rsid w:val="390C4DA0"/>
    <w:rsid w:val="39313BA9"/>
    <w:rsid w:val="39650B36"/>
    <w:rsid w:val="3A831D3C"/>
    <w:rsid w:val="3A890084"/>
    <w:rsid w:val="3B0A1153"/>
    <w:rsid w:val="3B411B08"/>
    <w:rsid w:val="3B8348F3"/>
    <w:rsid w:val="3BA3301A"/>
    <w:rsid w:val="3C380220"/>
    <w:rsid w:val="3C9E707E"/>
    <w:rsid w:val="3CC14BDD"/>
    <w:rsid w:val="3CD662DF"/>
    <w:rsid w:val="3D595F3A"/>
    <w:rsid w:val="3D5E16BB"/>
    <w:rsid w:val="3D98669F"/>
    <w:rsid w:val="3D9B4140"/>
    <w:rsid w:val="3DEF6388"/>
    <w:rsid w:val="3E3D3671"/>
    <w:rsid w:val="3EF065CE"/>
    <w:rsid w:val="3FB23269"/>
    <w:rsid w:val="415C44C9"/>
    <w:rsid w:val="41E2319C"/>
    <w:rsid w:val="42744089"/>
    <w:rsid w:val="42D91AFC"/>
    <w:rsid w:val="442962A2"/>
    <w:rsid w:val="44801C3A"/>
    <w:rsid w:val="468B4FF2"/>
    <w:rsid w:val="476D1926"/>
    <w:rsid w:val="48867CE6"/>
    <w:rsid w:val="4A437992"/>
    <w:rsid w:val="4C1D2DFF"/>
    <w:rsid w:val="4C2A0E0A"/>
    <w:rsid w:val="4D2B6B22"/>
    <w:rsid w:val="4DD053B8"/>
    <w:rsid w:val="4DF35A53"/>
    <w:rsid w:val="4E094A4F"/>
    <w:rsid w:val="4E8642F1"/>
    <w:rsid w:val="4F167C4E"/>
    <w:rsid w:val="4F353F91"/>
    <w:rsid w:val="4F770156"/>
    <w:rsid w:val="4FC605A6"/>
    <w:rsid w:val="501F729E"/>
    <w:rsid w:val="50594DE2"/>
    <w:rsid w:val="52F96A78"/>
    <w:rsid w:val="530161E7"/>
    <w:rsid w:val="533F163E"/>
    <w:rsid w:val="5365410B"/>
    <w:rsid w:val="53D61877"/>
    <w:rsid w:val="540D2C74"/>
    <w:rsid w:val="54745318"/>
    <w:rsid w:val="554967A4"/>
    <w:rsid w:val="5590557F"/>
    <w:rsid w:val="562E690D"/>
    <w:rsid w:val="57961A49"/>
    <w:rsid w:val="57F91B90"/>
    <w:rsid w:val="57FB18AC"/>
    <w:rsid w:val="587E693B"/>
    <w:rsid w:val="58AB5080"/>
    <w:rsid w:val="58B008E9"/>
    <w:rsid w:val="5A2450EA"/>
    <w:rsid w:val="5BB742CC"/>
    <w:rsid w:val="5BC257E9"/>
    <w:rsid w:val="5CAB4497"/>
    <w:rsid w:val="5CAC6EDF"/>
    <w:rsid w:val="5CD54DC2"/>
    <w:rsid w:val="5D9E1681"/>
    <w:rsid w:val="5F773F0E"/>
    <w:rsid w:val="602722A5"/>
    <w:rsid w:val="61B83B4B"/>
    <w:rsid w:val="61EB473F"/>
    <w:rsid w:val="624520A2"/>
    <w:rsid w:val="62A50D92"/>
    <w:rsid w:val="63697F04"/>
    <w:rsid w:val="636C7DAE"/>
    <w:rsid w:val="64B82FFF"/>
    <w:rsid w:val="64D11873"/>
    <w:rsid w:val="64D63CEE"/>
    <w:rsid w:val="658906AC"/>
    <w:rsid w:val="66E7689F"/>
    <w:rsid w:val="670C7C8D"/>
    <w:rsid w:val="67961102"/>
    <w:rsid w:val="67D31EFE"/>
    <w:rsid w:val="67E9310A"/>
    <w:rsid w:val="67E94442"/>
    <w:rsid w:val="68150F68"/>
    <w:rsid w:val="681C38A5"/>
    <w:rsid w:val="68991C29"/>
    <w:rsid w:val="69BB3005"/>
    <w:rsid w:val="6A733835"/>
    <w:rsid w:val="6AF16423"/>
    <w:rsid w:val="6B5670CE"/>
    <w:rsid w:val="6B673089"/>
    <w:rsid w:val="711F3BA7"/>
    <w:rsid w:val="7201793F"/>
    <w:rsid w:val="72BD3ED6"/>
    <w:rsid w:val="73306456"/>
    <w:rsid w:val="73BC69EE"/>
    <w:rsid w:val="73C372CA"/>
    <w:rsid w:val="74AC7D5E"/>
    <w:rsid w:val="7564688B"/>
    <w:rsid w:val="75737B6F"/>
    <w:rsid w:val="773F5446"/>
    <w:rsid w:val="777F79AC"/>
    <w:rsid w:val="7786717D"/>
    <w:rsid w:val="788707E7"/>
    <w:rsid w:val="78AB4ECF"/>
    <w:rsid w:val="78C728B3"/>
    <w:rsid w:val="78E33580"/>
    <w:rsid w:val="790E51EE"/>
    <w:rsid w:val="79106018"/>
    <w:rsid w:val="793A1DDD"/>
    <w:rsid w:val="7B2B7B1F"/>
    <w:rsid w:val="7C227403"/>
    <w:rsid w:val="7DCC0473"/>
    <w:rsid w:val="7E1077F2"/>
    <w:rsid w:val="7E1846B6"/>
    <w:rsid w:val="7EB75C7D"/>
    <w:rsid w:val="7F096D35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before="156" w:beforeLines="50"/>
      <w:ind w:firstLine="640" w:firstLineChars="200"/>
    </w:pPr>
    <w:rPr>
      <w:rFonts w:ascii="仿宋_GB2312" w:eastAsia="仿宋_GB2312" w:cs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7">
    <w:name w:val="Body Text 2"/>
    <w:basedOn w:val="1"/>
    <w:autoRedefine/>
    <w:qFormat/>
    <w:uiPriority w:val="0"/>
    <w:pPr>
      <w:spacing w:before="100" w:beforeAutospacing="1" w:after="120" w:line="480" w:lineRule="auto"/>
    </w:pPr>
    <w:rPr>
      <w:rFonts w:cs="宋体"/>
      <w:szCs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9">
    <w:name w:val="Body Text First Indent 2"/>
    <w:basedOn w:val="3"/>
    <w:autoRedefine/>
    <w:qFormat/>
    <w:uiPriority w:val="0"/>
    <w:pPr>
      <w:ind w:firstLine="420"/>
    </w:pPr>
    <w:rPr>
      <w:rFonts w:ascii="Calibri" w:eastAsia="宋体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14">
    <w:name w:val="CM5"/>
    <w:basedOn w:val="13"/>
    <w:next w:val="13"/>
    <w:autoRedefine/>
    <w:unhideWhenUsed/>
    <w:qFormat/>
    <w:uiPriority w:val="99"/>
  </w:style>
  <w:style w:type="character" w:customStyle="1" w:styleId="15">
    <w:name w:val="页眉 字符"/>
    <w:basedOn w:val="12"/>
    <w:link w:val="5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2243</Words>
  <Characters>2279</Characters>
  <Lines>29</Lines>
  <Paragraphs>8</Paragraphs>
  <TotalTime>12</TotalTime>
  <ScaleCrop>false</ScaleCrop>
  <LinksUpToDate>false</LinksUpToDate>
  <CharactersWithSpaces>2360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2024-05-16T08:01:00Z</dcterms:created>
  <dc:creator>1</dc:creator>
  <cp:lastModifiedBy>WPS_1693640554</cp:lastModifiedBy>
  <cp:lastPrinted>2024-07-22T01:53:00Z</cp:lastPrinted>
  <dcterms:modified xsi:type="dcterms:W3CDTF">2024-11-13T00:53:41Z</dcterms:modified>
  <dc:title>枣庄市农村集体“三资”侵占挪用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01C3833F69E64E5883ACC8B4746FA54B_13</vt:lpwstr>
  </property>
</Properties>
</file>